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EA" w:rsidRDefault="004135EA" w:rsidP="004135EA">
      <w:pPr>
        <w:widowControl/>
        <w:spacing w:afterLines="50" w:after="156"/>
        <w:jc w:val="left"/>
        <w:rPr>
          <w:rFonts w:ascii="Times New Roman" w:hAnsi="宋体"/>
          <w:bCs/>
          <w:color w:val="000000"/>
          <w:kern w:val="0"/>
          <w:szCs w:val="21"/>
        </w:rPr>
      </w:pPr>
      <w:r>
        <w:rPr>
          <w:rFonts w:ascii="Times New Roman" w:hAnsi="宋体" w:hint="eastAsia"/>
          <w:b/>
          <w:bCs/>
          <w:color w:val="000000"/>
          <w:kern w:val="0"/>
          <w:szCs w:val="21"/>
        </w:rPr>
        <w:t>报告摘要</w:t>
      </w:r>
      <w:r>
        <w:rPr>
          <w:rFonts w:ascii="Times New Roman" w:hAnsi="Times New Roman"/>
          <w:b/>
          <w:bCs/>
          <w:color w:val="000000"/>
          <w:kern w:val="0"/>
          <w:szCs w:val="21"/>
        </w:rPr>
        <w:t>[Abstract]</w:t>
      </w:r>
      <w:r>
        <w:rPr>
          <w:rFonts w:ascii="Times New Roman" w:hAnsi="宋体" w:hint="eastAsia"/>
          <w:b/>
          <w:bCs/>
          <w:color w:val="000000"/>
          <w:kern w:val="0"/>
          <w:szCs w:val="21"/>
        </w:rPr>
        <w:t>：</w:t>
      </w:r>
      <w:r>
        <w:rPr>
          <w:rFonts w:ascii="Times New Roman" w:hAnsi="宋体"/>
          <w:bCs/>
          <w:color w:val="000000"/>
          <w:kern w:val="0"/>
          <w:szCs w:val="21"/>
        </w:rPr>
        <w:t xml:space="preserve">We consider a critical superprocess </w:t>
      </w:r>
      <m:oMath>
        <m:d>
          <m:dPr>
            <m:begChr m:val="{"/>
            <m:endChr m:val="}"/>
            <m:ctrlPr>
              <w:rPr>
                <w:rFonts w:ascii="Cambria Math" w:hAnsi="Cambria Math"/>
                <w:bCs/>
                <w:color w:val="000000"/>
                <w:szCs w:val="21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00"/>
                <w:kern w:val="0"/>
                <w:szCs w:val="21"/>
              </w:rPr>
              <m:t>X</m:t>
            </m:r>
            <m:r>
              <w:rPr>
                <w:rFonts w:ascii="Cambria Math" w:hAnsi="Cambria Math"/>
                <w:color w:val="000000"/>
                <w:kern w:val="0"/>
                <w:szCs w:val="21"/>
              </w:rPr>
              <m:t>;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szCs w:val="2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μ</m:t>
                </m:r>
              </m:sub>
            </m:sSub>
          </m:e>
        </m:d>
      </m:oMath>
      <w:r>
        <w:rPr>
          <w:rFonts w:ascii="Times New Roman" w:hAnsi="宋体"/>
          <w:bCs/>
          <w:color w:val="000000"/>
          <w:kern w:val="0"/>
          <w:szCs w:val="21"/>
        </w:rPr>
        <w:t xml:space="preserve"> with general spatial motion and spatially dependent stable branching mechanism with lowest stable index</w:t>
      </w:r>
      <m:oMath>
        <m:r>
          <m:rPr>
            <m:sty m:val="p"/>
          </m:rPr>
          <w:rPr>
            <w:rFonts w:ascii="Cambria Math" w:hAnsi="Cambria Math"/>
            <w:color w:val="000000"/>
            <w:kern w:val="0"/>
            <w:szCs w:val="21"/>
          </w:rPr>
          <m:t xml:space="preserve"> </m:t>
        </m:r>
        <m:sSub>
          <m:sSubPr>
            <m:ctrlPr>
              <w:rPr>
                <w:rFonts w:ascii="Cambria Math" w:hAnsi="Cambria Math"/>
                <w:bCs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kern w:val="0"/>
                <w:szCs w:val="21"/>
              </w:rPr>
              <m:t>γ</m:t>
            </m:r>
          </m:e>
          <m:sub>
            <m:r>
              <w:rPr>
                <w:rFonts w:ascii="Cambria Math" w:hAnsi="Cambria Math"/>
                <w:color w:val="000000"/>
                <w:kern w:val="0"/>
                <w:szCs w:val="21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kern w:val="0"/>
            <w:szCs w:val="21"/>
          </w:rPr>
          <m:t>&gt;1</m:t>
        </m:r>
      </m:oMath>
      <w:r>
        <w:rPr>
          <w:rFonts w:ascii="Times New Roman" w:hAnsi="宋体"/>
          <w:bCs/>
          <w:color w:val="000000"/>
          <w:kern w:val="0"/>
          <w:szCs w:val="21"/>
        </w:rPr>
        <w:t xml:space="preserve">. We first show that, under some conditions, </w:t>
      </w: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szCs w:val="2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  <w:kern w:val="0"/>
                <w:szCs w:val="21"/>
              </w:rPr>
              <m:t>P</m:t>
            </m:r>
          </m:e>
          <m:sub>
            <m:r>
              <w:rPr>
                <w:rFonts w:ascii="Cambria Math" w:hAnsi="Cambria Math"/>
                <w:color w:val="000000"/>
                <w:kern w:val="0"/>
                <w:szCs w:val="21"/>
              </w:rPr>
              <m:t>μ</m:t>
            </m:r>
          </m:sub>
        </m:sSub>
        <m:r>
          <w:rPr>
            <w:rFonts w:ascii="Cambria Math" w:hAnsi="Cambria Math"/>
            <w:color w:val="000000"/>
            <w:kern w:val="0"/>
            <w:szCs w:val="21"/>
          </w:rPr>
          <m:t>(</m:t>
        </m:r>
        <m:d>
          <m:dPr>
            <m:begChr m:val="‖"/>
            <m:endChr m:val="‖"/>
            <m:ctrlPr>
              <w:rPr>
                <w:rFonts w:ascii="Cambria Math" w:hAnsi="Cambria Math"/>
                <w:bCs/>
                <w:i/>
                <w:color w:val="000000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t</m:t>
                </m:r>
              </m:sub>
            </m:sSub>
          </m:e>
        </m:d>
        <m:r>
          <w:rPr>
            <w:rFonts w:ascii="Cambria Math" w:hAnsi="Cambria Math"/>
            <w:color w:val="000000"/>
            <w:kern w:val="0"/>
            <w:szCs w:val="21"/>
          </w:rPr>
          <m:t>≠0)</m:t>
        </m:r>
      </m:oMath>
      <w:r>
        <w:rPr>
          <w:rFonts w:ascii="Times New Roman" w:hAnsi="宋体"/>
          <w:bCs/>
          <w:color w:val="000000"/>
          <w:kern w:val="0"/>
          <w:szCs w:val="21"/>
        </w:rPr>
        <w:t xml:space="preserve"> converges to 0 as </w:t>
      </w:r>
      <m:oMath>
        <m:r>
          <m:rPr>
            <m:sty m:val="p"/>
          </m:rPr>
          <w:rPr>
            <w:rFonts w:ascii="Cambria Math" w:hAnsi="Cambria Math"/>
            <w:color w:val="000000"/>
            <w:kern w:val="0"/>
            <w:szCs w:val="21"/>
          </w:rPr>
          <m:t>t→∞</m:t>
        </m:r>
      </m:oMath>
      <w:r>
        <w:rPr>
          <w:rFonts w:ascii="Times New Roman" w:hAnsi="宋体"/>
          <w:bCs/>
          <w:color w:val="000000"/>
          <w:kern w:val="0"/>
          <w:szCs w:val="21"/>
        </w:rPr>
        <w:t xml:space="preserve"> and is regularly varying with index</w:t>
      </w:r>
      <m:oMath>
        <m:sSup>
          <m:sSupPr>
            <m:ctrlPr>
              <w:rPr>
                <w:rFonts w:ascii="Cambria Math" w:hAnsi="Cambria Math"/>
                <w:bCs/>
                <w:color w:val="000000"/>
                <w:szCs w:val="21"/>
              </w:rPr>
            </m:ctrlPr>
          </m:sSupPr>
          <m:e>
            <m:r>
              <w:rPr>
                <w:rFonts w:ascii="Cambria Math" w:hAnsi="Cambria Math"/>
                <w:color w:val="000000"/>
                <w:kern w:val="0"/>
                <w:szCs w:val="21"/>
              </w:rPr>
              <m:t>(</m:t>
            </m:r>
            <m:sSub>
              <m:sSubPr>
                <m:ctrlPr>
                  <w:rPr>
                    <w:rFonts w:ascii="Cambria Math" w:hAnsi="Cambria Math"/>
                    <w:bCs/>
                    <w:color w:val="000000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γ</m:t>
                </m:r>
              </m:e>
              <m:sub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0</m:t>
                </m:r>
              </m:sub>
            </m:sSub>
            <m:r>
              <w:rPr>
                <w:rFonts w:ascii="Cambria Math" w:hAnsi="Cambria Math"/>
                <w:color w:val="000000"/>
                <w:kern w:val="0"/>
                <w:szCs w:val="21"/>
              </w:rPr>
              <m:t>-1)</m:t>
            </m:r>
          </m:e>
          <m:sup>
            <m:r>
              <w:rPr>
                <w:rFonts w:ascii="Cambria Math" w:hAnsi="Cambria Math"/>
                <w:color w:val="000000"/>
                <w:kern w:val="0"/>
                <w:szCs w:val="21"/>
              </w:rPr>
              <m:t>-1</m:t>
            </m:r>
          </m:sup>
        </m:sSup>
      </m:oMath>
      <w:r>
        <w:rPr>
          <w:rFonts w:ascii="Times New Roman" w:hAnsi="宋体"/>
          <w:bCs/>
          <w:color w:val="000000"/>
          <w:kern w:val="0"/>
          <w:szCs w:val="21"/>
        </w:rPr>
        <w:t>. Then we show that, for a large class of non-negative testing functions</w:t>
      </w:r>
      <m:oMath>
        <m:r>
          <m:rPr>
            <m:sty m:val="p"/>
          </m:rPr>
          <w:rPr>
            <w:rFonts w:ascii="Cambria Math" w:hAnsi="Cambria Math"/>
            <w:color w:val="000000"/>
            <w:kern w:val="0"/>
            <w:szCs w:val="21"/>
          </w:rPr>
          <m:t xml:space="preserve"> </m:t>
        </m:r>
        <m:r>
          <w:rPr>
            <w:rFonts w:ascii="Cambria Math" w:hAnsi="Cambria Math"/>
            <w:color w:val="000000"/>
            <w:kern w:val="0"/>
            <w:szCs w:val="21"/>
          </w:rPr>
          <m:t>f</m:t>
        </m:r>
      </m:oMath>
      <w:r>
        <w:rPr>
          <w:rFonts w:ascii="Times New Roman" w:hAnsi="宋体"/>
          <w:bCs/>
          <w:color w:val="000000"/>
          <w:kern w:val="0"/>
          <w:szCs w:val="21"/>
        </w:rPr>
        <w:t>, the distribution of</w:t>
      </w:r>
      <m:oMath>
        <m:r>
          <m:rPr>
            <m:sty m:val="p"/>
          </m:rPr>
          <w:rPr>
            <w:rFonts w:ascii="Cambria Math" w:hAnsi="Cambria Math"/>
            <w:color w:val="000000"/>
            <w:kern w:val="0"/>
            <w:szCs w:val="21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  <w:color w:val="000000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t</m:t>
                </m:r>
              </m:sub>
            </m:sSub>
            <m:r>
              <w:rPr>
                <w:rFonts w:ascii="Cambria Math" w:hAnsi="Cambria Math"/>
                <w:color w:val="000000"/>
                <w:kern w:val="0"/>
                <w:szCs w:val="21"/>
              </w:rPr>
              <m:t>(f);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szCs w:val="2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μ</m:t>
                </m:r>
              </m:sub>
            </m:sSub>
            <m:r>
              <w:rPr>
                <w:rFonts w:ascii="Cambria Math" w:hAnsi="Cambria Math"/>
                <w:color w:val="000000"/>
                <w:kern w:val="0"/>
                <w:szCs w:val="21"/>
              </w:rPr>
              <m:t>(</m:t>
            </m:r>
            <m:d>
              <m:dPr>
                <m:begChr m:val="‖"/>
                <m:endChr m:val="‖"/>
                <m:ctrlPr>
                  <w:rPr>
                    <w:rFonts w:ascii="Cambria Math" w:hAnsi="Cambria Math"/>
                    <w:bCs/>
                    <w:i/>
                    <w:color w:val="000000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kern w:val="0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kern w:val="0"/>
                        <w:szCs w:val="21"/>
                      </w:rPr>
                      <m:t>t</m:t>
                    </m:r>
                  </m:sub>
                </m:sSub>
              </m:e>
            </m:d>
            <m:r>
              <w:rPr>
                <w:rFonts w:ascii="Cambria Math" w:hAnsi="Cambria Math"/>
                <w:color w:val="000000"/>
                <w:kern w:val="0"/>
                <w:szCs w:val="21"/>
              </w:rPr>
              <m:t>≠0)</m:t>
            </m:r>
          </m:e>
        </m:d>
      </m:oMath>
      <w:r>
        <w:rPr>
          <w:rFonts w:ascii="Times New Roman" w:hAnsi="宋体"/>
          <w:bCs/>
          <w:color w:val="000000"/>
          <w:kern w:val="0"/>
          <w:szCs w:val="21"/>
        </w:rPr>
        <w:t xml:space="preserve">, after appropriate rescaling, converges weakly to a positive random variable </w:t>
      </w:r>
      <m:oMath>
        <m:sSup>
          <m:sSupPr>
            <m:ctrlPr>
              <w:rPr>
                <w:rFonts w:ascii="Cambria Math" w:hAnsi="Cambria Math"/>
                <w:bCs/>
                <w:color w:val="000000"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kern w:val="0"/>
                <w:szCs w:val="21"/>
              </w:rPr>
              <m:t>z</m:t>
            </m:r>
          </m:e>
          <m:sup>
            <m:r>
              <w:rPr>
                <w:rFonts w:ascii="Cambria Math" w:hAnsi="Cambria Math"/>
                <w:color w:val="000000"/>
                <w:kern w:val="0"/>
                <w:szCs w:val="21"/>
              </w:rPr>
              <m:t>(</m:t>
            </m:r>
            <m:sSub>
              <m:sSubPr>
                <m:ctrlPr>
                  <w:rPr>
                    <w:rFonts w:ascii="Cambria Math" w:hAnsi="Cambria Math"/>
                    <w:bCs/>
                    <w:color w:val="000000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γ</m:t>
                </m:r>
              </m:e>
              <m:sub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0</m:t>
                </m:r>
              </m:sub>
            </m:sSub>
            <m:r>
              <w:rPr>
                <w:rFonts w:ascii="Cambria Math" w:hAnsi="Cambria Math"/>
                <w:color w:val="000000"/>
                <w:kern w:val="0"/>
                <w:szCs w:val="21"/>
              </w:rPr>
              <m:t>-1)</m:t>
            </m:r>
          </m:sup>
        </m:sSup>
      </m:oMath>
      <w:r>
        <w:rPr>
          <w:rFonts w:ascii="Times New Roman" w:hAnsi="宋体"/>
          <w:bCs/>
          <w:color w:val="000000"/>
          <w:kern w:val="0"/>
          <w:szCs w:val="21"/>
        </w:rPr>
        <w:t xml:space="preserve"> with Laplace transform</w:t>
      </w:r>
    </w:p>
    <w:p w:rsidR="004135EA" w:rsidRDefault="004135EA" w:rsidP="004135EA">
      <w:pPr>
        <w:widowControl/>
        <w:spacing w:afterLines="50" w:after="156"/>
        <w:jc w:val="left"/>
        <w:rPr>
          <w:rFonts w:ascii="Times New Roman" w:hAnsi="宋体"/>
          <w:bCs/>
          <w:color w:val="000000"/>
          <w:kern w:val="0"/>
          <w:szCs w:val="21"/>
        </w:rPr>
      </w:pPr>
      <m:oMathPara>
        <m:oMath>
          <m:r>
            <w:rPr>
              <w:rFonts w:ascii="Cambria Math" w:hAnsi="Cambria Math"/>
              <w:color w:val="000000"/>
              <w:kern w:val="0"/>
              <w:szCs w:val="21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color w:val="000000"/>
                  <w:szCs w:val="21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Cs/>
                      <w:color w:val="000000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kern w:val="0"/>
                      <w:szCs w:val="21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kern w:val="0"/>
                      <w:szCs w:val="21"/>
                    </w:rPr>
                    <m:t>-u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color w:val="000000"/>
                          <w:szCs w:val="21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kern w:val="0"/>
                          <w:szCs w:val="21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kern w:val="0"/>
                          <w:szCs w:val="21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kern w:val="0"/>
                              <w:szCs w:val="21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kern w:val="0"/>
                              <w:szCs w:val="21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kern w:val="0"/>
                          <w:szCs w:val="21"/>
                        </w:rPr>
                        <m:t>-1)</m:t>
                      </m:r>
                    </m:sup>
                  </m:sSup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000000"/>
              <w:kern w:val="0"/>
              <w:szCs w:val="21"/>
            </w:rPr>
            <m:t>=1-</m:t>
          </m:r>
          <m:sSup>
            <m:sSupPr>
              <m:ctrlPr>
                <w:rPr>
                  <w:rFonts w:ascii="Cambria Math" w:hAnsi="Cambria Math"/>
                  <w:bCs/>
                  <w:color w:val="000000"/>
                  <w:szCs w:val="21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kern w:val="0"/>
                  <w:szCs w:val="21"/>
                </w:rPr>
                <m:t>(1+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000000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kern w:val="0"/>
                      <w:szCs w:val="21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kern w:val="0"/>
                      <w:szCs w:val="21"/>
                    </w:rPr>
                    <m:t>-(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color w:val="000000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kern w:val="0"/>
                          <w:szCs w:val="21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kern w:val="0"/>
                          <w:szCs w:val="21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kern w:val="0"/>
                      <w:szCs w:val="21"/>
                    </w:rPr>
                    <m:t>-1)</m:t>
                  </m:r>
                </m:sup>
              </m:sSup>
              <m:r>
                <w:rPr>
                  <w:rFonts w:ascii="Cambria Math" w:hAnsi="Cambria Math"/>
                  <w:color w:val="000000"/>
                  <w:kern w:val="0"/>
                  <w:szCs w:val="21"/>
                </w:rPr>
                <m:t>)</m:t>
              </m:r>
            </m:e>
            <m:sup>
              <m:f>
                <m:fPr>
                  <m:type m:val="skw"/>
                  <m:ctrlPr>
                    <w:rPr>
                      <w:rFonts w:ascii="Cambria Math" w:hAnsi="Cambria Math"/>
                      <w:bCs/>
                      <w:i/>
                      <w:color w:val="000000"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kern w:val="0"/>
                      <w:szCs w:val="21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kern w:val="0"/>
                      <w:szCs w:val="2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color w:val="000000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kern w:val="0"/>
                          <w:szCs w:val="21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kern w:val="0"/>
                          <w:szCs w:val="21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kern w:val="0"/>
                      <w:szCs w:val="21"/>
                    </w:rPr>
                    <m:t>-1)</m:t>
                  </m:r>
                </m:den>
              </m:f>
            </m:sup>
          </m:sSup>
        </m:oMath>
      </m:oMathPara>
    </w:p>
    <w:p w:rsidR="00EC3369" w:rsidRPr="00EC3369" w:rsidRDefault="004135EA" w:rsidP="004135EA">
      <w:pPr>
        <w:rPr>
          <w:rFonts w:ascii="Times New Roman" w:hAnsi="宋体" w:hint="eastAsia"/>
          <w:bCs/>
          <w:color w:val="000000"/>
          <w:kern w:val="0"/>
          <w:szCs w:val="21"/>
        </w:rPr>
      </w:pPr>
      <w:r>
        <w:rPr>
          <w:rFonts w:ascii="Times New Roman" w:hAnsi="宋体"/>
          <w:bCs/>
          <w:color w:val="000000"/>
          <w:kern w:val="0"/>
          <w:szCs w:val="21"/>
        </w:rPr>
        <w:t>This is a joint work with Yan-xia Ren and Renming Song.</w:t>
      </w:r>
      <w:bookmarkStart w:id="0" w:name="_GoBack"/>
      <w:bookmarkEnd w:id="0"/>
    </w:p>
    <w:sectPr w:rsidR="00EC3369" w:rsidRPr="00EC3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72"/>
    <w:rsid w:val="00081372"/>
    <w:rsid w:val="001F12E9"/>
    <w:rsid w:val="004135EA"/>
    <w:rsid w:val="007635D6"/>
    <w:rsid w:val="00E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11C6"/>
  <w15:chartTrackingRefBased/>
  <w15:docId w15:val="{865594BA-4EE1-4A88-9E9B-A8BCF60C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5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8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俣伽</dc:creator>
  <cp:keywords/>
  <dc:description/>
  <cp:lastModifiedBy>刘 俣伽</cp:lastModifiedBy>
  <cp:revision>4</cp:revision>
  <dcterms:created xsi:type="dcterms:W3CDTF">2018-12-13T08:06:00Z</dcterms:created>
  <dcterms:modified xsi:type="dcterms:W3CDTF">2018-12-13T08:07:00Z</dcterms:modified>
</cp:coreProperties>
</file>